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D80F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4C06A07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</w:t>
      </w:r>
    </w:p>
    <w:p w14:paraId="34B05953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сбора замечаний и предложений организаций и граждан в рамках </w:t>
      </w:r>
    </w:p>
    <w:p w14:paraId="6C5F8344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анализа проекта муниципального нормативного правового </w:t>
      </w:r>
    </w:p>
    <w:p w14:paraId="273BB7CC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акта на предмет его влияния на конкуренцию</w:t>
      </w:r>
    </w:p>
    <w:p w14:paraId="3906DCC2" w14:textId="77777777" w:rsidR="00931571" w:rsidRPr="00AA3C40" w:rsidRDefault="00931571" w:rsidP="00931571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574FDB89" w14:textId="77777777" w:rsidR="00417096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1. </w:t>
      </w: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91"/>
        <w:gridCol w:w="3656"/>
      </w:tblGrid>
      <w:tr w:rsidR="00931571" w14:paraId="105035E8" w14:textId="77777777" w:rsidTr="0063110E">
        <w:tc>
          <w:tcPr>
            <w:tcW w:w="6091" w:type="dxa"/>
          </w:tcPr>
          <w:p w14:paraId="2DA6078A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Наименование хозяйствующего субъекта (организации)</w:t>
            </w:r>
          </w:p>
        </w:tc>
        <w:tc>
          <w:tcPr>
            <w:tcW w:w="3656" w:type="dxa"/>
          </w:tcPr>
          <w:p w14:paraId="557BFAC5" w14:textId="77777777" w:rsidR="00931571" w:rsidRDefault="00931571" w:rsidP="00931571"/>
        </w:tc>
      </w:tr>
      <w:tr w:rsidR="00931571" w14:paraId="2CF23EE0" w14:textId="77777777" w:rsidTr="0063110E">
        <w:tc>
          <w:tcPr>
            <w:tcW w:w="6091" w:type="dxa"/>
          </w:tcPr>
          <w:p w14:paraId="7030ACB1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3656" w:type="dxa"/>
          </w:tcPr>
          <w:p w14:paraId="165DF0F9" w14:textId="77777777" w:rsidR="00931571" w:rsidRDefault="00931571" w:rsidP="00931571"/>
        </w:tc>
      </w:tr>
      <w:tr w:rsidR="00931571" w14:paraId="52FDB4DF" w14:textId="77777777" w:rsidTr="0063110E">
        <w:tc>
          <w:tcPr>
            <w:tcW w:w="6091" w:type="dxa"/>
          </w:tcPr>
          <w:p w14:paraId="6462D69D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ИНН хозяйствующего субъекта (организации)</w:t>
            </w:r>
          </w:p>
        </w:tc>
        <w:tc>
          <w:tcPr>
            <w:tcW w:w="3656" w:type="dxa"/>
          </w:tcPr>
          <w:p w14:paraId="3ED02A90" w14:textId="77777777" w:rsidR="00931571" w:rsidRDefault="00931571" w:rsidP="00931571"/>
        </w:tc>
      </w:tr>
      <w:tr w:rsidR="00931571" w14:paraId="7AACE122" w14:textId="77777777" w:rsidTr="0063110E">
        <w:tc>
          <w:tcPr>
            <w:tcW w:w="6091" w:type="dxa"/>
          </w:tcPr>
          <w:p w14:paraId="6A10B1B1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ФИО участника публичных консультаций</w:t>
            </w:r>
          </w:p>
        </w:tc>
        <w:tc>
          <w:tcPr>
            <w:tcW w:w="3656" w:type="dxa"/>
          </w:tcPr>
          <w:p w14:paraId="1D7DB59C" w14:textId="77777777" w:rsidR="00931571" w:rsidRDefault="00931571" w:rsidP="00931571"/>
        </w:tc>
      </w:tr>
      <w:tr w:rsidR="00931571" w14:paraId="481CF587" w14:textId="77777777" w:rsidTr="0063110E">
        <w:tc>
          <w:tcPr>
            <w:tcW w:w="6091" w:type="dxa"/>
          </w:tcPr>
          <w:p w14:paraId="5545CFC9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656" w:type="dxa"/>
          </w:tcPr>
          <w:p w14:paraId="7241245D" w14:textId="77777777" w:rsidR="00931571" w:rsidRDefault="00931571" w:rsidP="00931571"/>
        </w:tc>
      </w:tr>
      <w:tr w:rsidR="00931571" w14:paraId="6F675430" w14:textId="77777777" w:rsidTr="0063110E">
        <w:tc>
          <w:tcPr>
            <w:tcW w:w="6091" w:type="dxa"/>
          </w:tcPr>
          <w:p w14:paraId="1A040BB2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56" w:type="dxa"/>
          </w:tcPr>
          <w:p w14:paraId="2841625D" w14:textId="77777777" w:rsidR="00931571" w:rsidRDefault="00931571" w:rsidP="00931571"/>
        </w:tc>
      </w:tr>
    </w:tbl>
    <w:p w14:paraId="6A159D70" w14:textId="77777777" w:rsidR="00931571" w:rsidRDefault="00931571" w:rsidP="00931571"/>
    <w:p w14:paraId="5A45B005" w14:textId="77777777" w:rsidR="00931571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Style w:val="a3"/>
        <w:tblW w:w="9782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931571" w14:paraId="01B2D968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7EA3F5" w14:textId="77777777" w:rsidR="00A276C6" w:rsidRDefault="00931571" w:rsidP="00A276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Яковлевского городского округа</w:t>
            </w:r>
          </w:p>
          <w:p w14:paraId="1B64B650" w14:textId="26B5820B" w:rsidR="00931571" w:rsidRDefault="00931571" w:rsidP="00A276C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045A28" w:rsidRPr="0004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нормативе стоимости одного квадратного метра общей площади жилья по Яковлевскому городскому округу на I</w:t>
            </w:r>
            <w:r w:rsidR="0079666D" w:rsidRPr="00796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I</w:t>
            </w:r>
            <w:r w:rsidR="00045A28" w:rsidRPr="0004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квартал 202</w:t>
            </w:r>
            <w:r w:rsidR="00986F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45A28" w:rsidRPr="00045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года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31571" w14:paraId="6E8C935F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4B230D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Яковлевского городского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3F34E82A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FE98B4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0F10585F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BB64A1" w14:textId="77777777" w:rsidR="00931571" w:rsidRDefault="00E56117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Яковлевского городского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01005E0D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AECF0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4C25246C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24C84F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Яковлевского городского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муниципального нормативного правового акта и их содержание.</w:t>
            </w:r>
          </w:p>
        </w:tc>
      </w:tr>
      <w:tr w:rsidR="00931571" w14:paraId="56BC27F2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F32AC2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63D48EC3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555618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 каких рынках товаров, работ, услуг может ухудшиться состояние конкурентной среды в результате принятия муниципального нормативного правового акта?</w:t>
            </w:r>
          </w:p>
        </w:tc>
      </w:tr>
      <w:tr w:rsidR="00931571" w14:paraId="7DD13375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75C9F2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480C50D8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B01B18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1571" w14:paraId="08A7FADA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86423E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0A41FCB9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4F24C2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31571" w14:paraId="421DBEB8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8FB4F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1ACEC61E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2A7B74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Ваши замечания и предложения по проекту муниципального нормативного правового акта в целях учета требований антимонопольного законодательства:</w:t>
            </w:r>
          </w:p>
        </w:tc>
      </w:tr>
      <w:tr w:rsidR="00931571" w14:paraId="6EB7D8BD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993307D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5D252A5" w14:textId="77777777" w:rsidTr="004145E9">
        <w:tc>
          <w:tcPr>
            <w:tcW w:w="9782" w:type="dxa"/>
            <w:tcBorders>
              <w:left w:val="single" w:sz="12" w:space="0" w:color="auto"/>
            </w:tcBorders>
          </w:tcPr>
          <w:p w14:paraId="1E02C6BE" w14:textId="77777777" w:rsidR="009A621E" w:rsidRDefault="00E56117" w:rsidP="009A621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B8F3911" w14:textId="77777777" w:rsidR="009A621E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070,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г.</w:t>
            </w:r>
            <w:r w:rsidR="00141D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д.2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708D3D67" w14:textId="77777777" w:rsidR="009A621E" w:rsidRPr="00B94B60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B94B60">
              <w:t xml:space="preserve"> </w:t>
            </w:r>
            <w:hyperlink r:id="rId4" w:history="1">
              <w:r w:rsidR="00B94B60" w:rsidRPr="002D07E0">
                <w:rPr>
                  <w:rStyle w:val="a4"/>
                </w:rPr>
                <w:t>yakov@ya.belregion.ru</w:t>
              </w:r>
            </w:hyperlink>
            <w:r w:rsidR="00B94B60" w:rsidRPr="00B94B60">
              <w:t xml:space="preserve"> </w:t>
            </w:r>
          </w:p>
          <w:p w14:paraId="75799EE9" w14:textId="75E69974" w:rsidR="00931571" w:rsidRDefault="009A621E" w:rsidP="00B94B60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с </w:t>
            </w:r>
            <w:r w:rsidR="00796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  <w:r w:rsidR="00B94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94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8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45E9"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796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  <w:bookmarkStart w:id="0" w:name="_GoBack"/>
            <w:bookmarkEnd w:id="0"/>
            <w:r w:rsidR="00B94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986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5A57"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00B9637B" w14:textId="77777777" w:rsidR="00931571" w:rsidRDefault="00931571" w:rsidP="00EE4309"/>
    <w:sectPr w:rsidR="00931571" w:rsidSect="00BD3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A43"/>
    <w:rsid w:val="00045A28"/>
    <w:rsid w:val="000E3745"/>
    <w:rsid w:val="00141D5C"/>
    <w:rsid w:val="002C1F95"/>
    <w:rsid w:val="003B109B"/>
    <w:rsid w:val="004145E9"/>
    <w:rsid w:val="00417096"/>
    <w:rsid w:val="004D7E8E"/>
    <w:rsid w:val="0063110E"/>
    <w:rsid w:val="00656C52"/>
    <w:rsid w:val="00694A43"/>
    <w:rsid w:val="00751548"/>
    <w:rsid w:val="0079666D"/>
    <w:rsid w:val="00925ECE"/>
    <w:rsid w:val="00931571"/>
    <w:rsid w:val="00975A57"/>
    <w:rsid w:val="00986F43"/>
    <w:rsid w:val="009A621E"/>
    <w:rsid w:val="00A276C6"/>
    <w:rsid w:val="00B94B60"/>
    <w:rsid w:val="00BD39FB"/>
    <w:rsid w:val="00BF11C9"/>
    <w:rsid w:val="00E56117"/>
    <w:rsid w:val="00EE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4698"/>
  <w15:docId w15:val="{3E12E953-C553-41A4-99E5-780BEF78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571"/>
    <w:pPr>
      <w:spacing w:after="0" w:line="240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62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kov@ya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14</cp:revision>
  <cp:lastPrinted>2019-12-20T13:48:00Z</cp:lastPrinted>
  <dcterms:created xsi:type="dcterms:W3CDTF">2019-11-19T07:50:00Z</dcterms:created>
  <dcterms:modified xsi:type="dcterms:W3CDTF">2023-01-23T12:58:00Z</dcterms:modified>
</cp:coreProperties>
</file>