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08" w:rsidRDefault="00675A8E">
      <w:pPr>
        <w:pStyle w:val="1"/>
        <w:spacing w:before="0" w:after="0"/>
        <w:ind w:firstLine="400"/>
        <w:contextualSpacing/>
        <w:jc w:val="center"/>
      </w:pPr>
      <w:bookmarkStart w:id="0" w:name="_GoBack"/>
      <w:r>
        <w:rPr>
          <w:rStyle w:val="a5"/>
          <w:rFonts w:ascii="Times New Roman" w:hAnsi="Times New Roman"/>
          <w:b/>
          <w:bCs/>
          <w:color w:val="101010"/>
          <w:sz w:val="28"/>
          <w:szCs w:val="28"/>
        </w:rPr>
        <w:t>Новое в законодательстве и борьба с теневой занятостью</w:t>
      </w:r>
      <w:bookmarkEnd w:id="0"/>
    </w:p>
    <w:p w:rsidR="00E36908" w:rsidRDefault="00675A8E">
      <w:pPr>
        <w:pStyle w:val="a1"/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</w:rPr>
        <w:t>С 2024 года вступили в силу отдельные положения закона от 12.12.2023 года</w:t>
      </w:r>
      <w:r>
        <w:rPr>
          <w:rFonts w:ascii="Times New Roman" w:hAnsi="Times New Roman"/>
          <w:color w:val="212121"/>
          <w:sz w:val="28"/>
          <w:szCs w:val="28"/>
        </w:rPr>
        <w:t xml:space="preserve"> № 565-ФЗ «О занятости населения в РФ», в котором внесены изменения, касающихся вопросов неформальной занятости, в части ст. 66 «Организационные основы противодействия нелегальной занятости в Российской Федерации» и ст. 67 «Межведомственные комиссии субъек</w:t>
      </w:r>
      <w:r>
        <w:rPr>
          <w:rFonts w:ascii="Times New Roman" w:hAnsi="Times New Roman"/>
          <w:color w:val="212121"/>
          <w:sz w:val="28"/>
          <w:szCs w:val="28"/>
        </w:rPr>
        <w:t xml:space="preserve">тов Российской Федерации по противодействию нелегальной занятости». Изменения затронут не только тех, кто устраивается на работу, но и заказчиков, привлекающих к сотрудничеству физических лиц по договорам гражданско-правового характера. </w:t>
      </w:r>
      <w:r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</w:rPr>
        <w:t>Для контроля за н</w:t>
      </w:r>
      <w:r>
        <w:rPr>
          <w:rFonts w:ascii="Times New Roman" w:hAnsi="Times New Roman"/>
          <w:color w:val="212121"/>
          <w:sz w:val="28"/>
          <w:szCs w:val="28"/>
        </w:rPr>
        <w:t>езаконной занятостью работают межведомственные комиссии. Основное назначение этих комиссий сбор информации о случаях нелегальной занятости и расследованию их. Они получат право запрашивать данные в налоговых инспекциях, включая даже те, что составляют нало</w:t>
      </w:r>
      <w:r>
        <w:rPr>
          <w:rFonts w:ascii="Times New Roman" w:hAnsi="Times New Roman"/>
          <w:color w:val="212121"/>
          <w:sz w:val="28"/>
          <w:szCs w:val="28"/>
        </w:rPr>
        <w:t>говую тайну.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Положения закона о занятости, которые касаются деятельности межведомственных комиссий, вступили в силу с 1 марта 2024 года.</w:t>
      </w:r>
      <w:r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</w:rPr>
        <w:t>В связи с этим, Минтруд России утвердил перечень признаков, которые теперь сигнализируют о том, что работодатель наруш</w:t>
      </w:r>
      <w:r>
        <w:rPr>
          <w:rFonts w:ascii="Times New Roman" w:hAnsi="Times New Roman"/>
          <w:color w:val="212121"/>
          <w:sz w:val="28"/>
          <w:szCs w:val="28"/>
        </w:rPr>
        <w:t>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комиссии по противодействию не</w:t>
      </w:r>
      <w:r>
        <w:rPr>
          <w:rFonts w:ascii="Times New Roman" w:hAnsi="Times New Roman"/>
          <w:color w:val="212121"/>
          <w:sz w:val="28"/>
          <w:szCs w:val="28"/>
        </w:rPr>
        <w:t>легальной занятости, установлены в соответствии с приказом Минтруда России от 02.02.2024 № 40 н.</w:t>
      </w:r>
      <w:r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12121"/>
          <w:sz w:val="28"/>
          <w:szCs w:val="28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</w:t>
      </w:r>
      <w:r>
        <w:rPr>
          <w:rFonts w:ascii="Times New Roman" w:hAnsi="Times New Roman"/>
          <w:color w:val="212121"/>
          <w:sz w:val="28"/>
          <w:szCs w:val="28"/>
        </w:rPr>
        <w:t>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</w:t>
      </w:r>
      <w:r>
        <w:rPr>
          <w:rFonts w:ascii="Times New Roman" w:hAnsi="Times New Roman"/>
          <w:color w:val="212121"/>
          <w:sz w:val="28"/>
          <w:szCs w:val="28"/>
        </w:rPr>
        <w:t xml:space="preserve"> до 20000 рублей, а организациям – от 50000 до 100000 рублей.</w:t>
      </w:r>
      <w:r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</w:t>
      </w:r>
      <w:r>
        <w:rPr>
          <w:rFonts w:ascii="Times New Roman" w:hAnsi="Times New Roman"/>
          <w:color w:val="212121"/>
          <w:sz w:val="28"/>
          <w:szCs w:val="28"/>
        </w:rPr>
        <w:t>лей.</w:t>
      </w:r>
      <w:r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</w:t>
      </w:r>
      <w:r>
        <w:rPr>
          <w:rFonts w:ascii="Times New Roman" w:hAnsi="Times New Roman"/>
          <w:color w:val="212121"/>
          <w:sz w:val="28"/>
          <w:szCs w:val="28"/>
        </w:rPr>
        <w:t>жет.</w:t>
      </w:r>
      <w:r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</w:t>
      </w:r>
      <w:r>
        <w:rPr>
          <w:rFonts w:ascii="Times New Roman" w:hAnsi="Times New Roman"/>
          <w:color w:val="212121"/>
          <w:sz w:val="28"/>
          <w:szCs w:val="28"/>
        </w:rPr>
        <w:t>65-ФЗ).</w:t>
      </w:r>
    </w:p>
    <w:p w:rsidR="00E36908" w:rsidRDefault="00675A8E">
      <w:pPr>
        <w:pStyle w:val="a1"/>
        <w:spacing w:after="0" w:line="240" w:lineRule="auto"/>
        <w:contextualSpacing/>
        <w:jc w:val="both"/>
      </w:pPr>
      <w:r>
        <w:rPr>
          <w:rFonts w:ascii="Times New Roman" w:hAnsi="Times New Roman"/>
          <w:color w:val="242424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В случае отказа работодателя от оформления трудовых отношений, наличия задолженности по оплате труда, выплаты заработной платы ниже минимального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>размера оплаты труда, а также иных нарушений трудового законодательства, можно обратиться в управление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экономического развития администрации Яковлевского городского округа по телефону «горячей линии» 8(47244) 6-93-55.</w:t>
      </w:r>
    </w:p>
    <w:p w:rsidR="00E36908" w:rsidRDefault="00675A8E">
      <w:pPr>
        <w:pStyle w:val="a1"/>
        <w:spacing w:after="0" w:line="240" w:lineRule="auto"/>
        <w:contextualSpacing/>
        <w:jc w:val="both"/>
        <w:rPr>
          <w:rStyle w:val="a5"/>
          <w:rFonts w:ascii="Times New Roman" w:hAnsi="Times New Roman"/>
          <w:b w:val="0"/>
          <w:color w:val="696969"/>
          <w:sz w:val="28"/>
          <w:szCs w:val="28"/>
        </w:rPr>
      </w:pPr>
      <w:r>
        <w:br/>
      </w:r>
    </w:p>
    <w:p w:rsidR="00E36908" w:rsidRDefault="00E36908">
      <w:pPr>
        <w:pStyle w:val="a1"/>
        <w:spacing w:after="0" w:line="240" w:lineRule="auto"/>
        <w:ind w:firstLine="400"/>
        <w:contextualSpacing/>
        <w:jc w:val="both"/>
        <w:rPr>
          <w:rStyle w:val="a5"/>
          <w:rFonts w:ascii="Times New Roman" w:hAnsi="Times New Roman"/>
          <w:b w:val="0"/>
          <w:color w:val="696969"/>
          <w:sz w:val="28"/>
          <w:szCs w:val="28"/>
        </w:rPr>
      </w:pPr>
    </w:p>
    <w:p w:rsidR="00E36908" w:rsidRDefault="00E36908">
      <w:pPr>
        <w:pStyle w:val="a1"/>
        <w:spacing w:after="0" w:line="240" w:lineRule="auto"/>
        <w:ind w:firstLine="400"/>
        <w:contextualSpacing/>
        <w:jc w:val="both"/>
        <w:rPr>
          <w:rStyle w:val="a5"/>
          <w:rFonts w:ascii="Times New Roman" w:hAnsi="Times New Roman"/>
          <w:b w:val="0"/>
          <w:color w:val="696969"/>
          <w:sz w:val="28"/>
          <w:szCs w:val="28"/>
        </w:rPr>
      </w:pPr>
    </w:p>
    <w:sectPr w:rsidR="00E36908">
      <w:pgSz w:w="11906" w:h="16838"/>
      <w:pgMar w:top="1134" w:right="677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08"/>
    <w:rsid w:val="00675A8E"/>
    <w:rsid w:val="00E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7E87B81-23E5-4AC8-8F6A-7F94C8E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dc:description/>
  <cp:lastModifiedBy>Олеся</cp:lastModifiedBy>
  <cp:revision>2</cp:revision>
  <cp:lastPrinted>2024-06-10T14:33:00Z</cp:lastPrinted>
  <dcterms:created xsi:type="dcterms:W3CDTF">2024-07-03T13:02:00Z</dcterms:created>
  <dcterms:modified xsi:type="dcterms:W3CDTF">2024-07-03T13:02:00Z</dcterms:modified>
  <dc:language>ru-RU</dc:language>
</cp:coreProperties>
</file>