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afterAutospacing="0"/>
        <w:rPr>
          <w:rFonts w:ascii="Tinos" w:hAnsi="Tinos" w:cs="Tinos" w:eastAsia="Tinos"/>
          <w:color w:val="444444"/>
          <w:sz w:val="28"/>
          <w:highlight w:val="none"/>
        </w:rPr>
      </w:pPr>
      <w:r>
        <w:rPr>
          <w:sz w:val="28"/>
          <w:highlight w:val="none"/>
        </w:rPr>
        <w:t xml:space="preserve">         </w:t>
      </w:r>
      <w:r>
        <w:rPr>
          <w:b/>
          <w:sz w:val="32"/>
          <w:highlight w:val="none"/>
        </w:rPr>
        <w:t xml:space="preserve"> </w:t>
      </w:r>
      <w:r>
        <w:rPr>
          <w:b/>
          <w:sz w:val="32"/>
          <w:highlight w:val="none"/>
        </w:rPr>
        <w:t xml:space="preserve"> </w:t>
      </w:r>
      <w:r>
        <w:rPr>
          <w:rFonts w:ascii="Tinos" w:hAnsi="Tinos" w:cs="Tinos" w:eastAsia="Tinos"/>
          <w:b/>
          <w:color w:val="444444"/>
          <w:sz w:val="28"/>
        </w:rPr>
        <w:t xml:space="preserve"> </w:t>
      </w:r>
      <w:r>
        <w:rPr>
          <w:rFonts w:ascii="Tinos" w:hAnsi="Tinos" w:cs="Tinos" w:eastAsia="Tinos"/>
          <w:b/>
          <w:color w:val="444444"/>
          <w:sz w:val="28"/>
          <w:highlight w:val="none"/>
        </w:rPr>
        <w:t xml:space="preserve">Деятельность инспекции гостехнадзора Белгородской области.</w:t>
      </w:r>
      <w:r/>
    </w:p>
    <w:p>
      <w:pPr>
        <w:ind w:left="0" w:right="0" w:firstLine="0"/>
        <w:jc w:val="both"/>
        <w:spacing w:after="0" w:afterAutospacing="0"/>
        <w:rPr>
          <w:rFonts w:ascii="Tinos" w:hAnsi="Tinos" w:cs="Tinos" w:eastAsia="Tinos"/>
          <w:color w:val="444444"/>
          <w:sz w:val="28"/>
        </w:rPr>
      </w:pPr>
      <w:r>
        <w:rPr>
          <w:rFonts w:ascii="Tinos" w:hAnsi="Tinos" w:cs="Tinos" w:eastAsia="Tinos"/>
          <w:color w:val="444444"/>
          <w:sz w:val="28"/>
          <w:highlight w:val="none"/>
        </w:rPr>
      </w:r>
      <w:r>
        <w:rPr>
          <w:rFonts w:ascii="Tinos" w:hAnsi="Tinos" w:cs="Tinos" w:eastAsia="Tinos"/>
          <w:color w:val="444444"/>
          <w:sz w:val="28"/>
          <w:highlight w:val="none"/>
        </w:rPr>
      </w:r>
    </w:p>
    <w:p>
      <w:pPr>
        <w:ind w:left="0" w:right="0" w:firstLine="708"/>
        <w:jc w:val="both"/>
        <w:spacing w:after="0" w:afterAutospacing="0"/>
        <w:rPr>
          <w:b/>
          <w:sz w:val="32"/>
          <w:highlight w:val="none"/>
        </w:rPr>
      </w:pPr>
      <w:r>
        <w:rPr>
          <w:rFonts w:ascii="Tinos" w:hAnsi="Tinos" w:cs="Tinos" w:eastAsia="Tinos"/>
          <w:color w:val="444444"/>
          <w:sz w:val="28"/>
        </w:rPr>
        <w:t xml:space="preserve">Государственная инспекция по надзору за техническим состоянием самоходных машин и других видов техники Белгородской области </w:t>
      </w:r>
      <w:r>
        <w:rPr>
          <w:rFonts w:ascii="Tinos" w:hAnsi="Tinos" w:cs="Tinos" w:eastAsia="Tinos"/>
          <w:color w:val="444444"/>
          <w:sz w:val="28"/>
        </w:rPr>
        <w:t xml:space="preserve"> (далее – Инспекция гостехнадзора) осуществляет специальное полномочие: региональный государственный надзор в области технического состояния и эксплуатации самоходных машин и других видов техники.</w:t>
      </w:r>
      <w:r>
        <w:rPr>
          <w:rFonts w:ascii="Tinos" w:hAnsi="Tinos" w:cs="Tinos" w:eastAsia="Tinos"/>
          <w:sz w:val="28"/>
        </w:rPr>
        <w:br/>
        <w:tab/>
      </w:r>
      <w:r>
        <w:rPr>
          <w:rFonts w:ascii="Tinos" w:hAnsi="Tinos" w:cs="Tinos" w:eastAsia="Tinos"/>
          <w:color w:val="444444"/>
          <w:sz w:val="28"/>
        </w:rPr>
        <w:t xml:space="preserve">Государственный надзор направлен на предупреждение, выявление и пресечение нарушений обязательных требований в установленной сфере деятельности, достижение</w:t>
      </w:r>
      <w:r>
        <w:rPr>
          <w:rFonts w:ascii="Tinos" w:hAnsi="Tinos" w:cs="Tinos" w:eastAsia="Tinos"/>
          <w:color w:val="444444"/>
          <w:sz w:val="28"/>
        </w:rPr>
        <w:t xml:space="preserve"> общественно значимых результатов, связанных с минимизацией риска причинения вреда (ущерба) охраняемым законом ценностям, вызванного нарушениями таких требований.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480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  <w:highlight w:val="yellow"/>
        </w:rPr>
      </w:r>
      <w:r>
        <w:rPr>
          <w:rFonts w:ascii="Tinos" w:hAnsi="Tinos" w:cs="Tinos" w:eastAsia="Tinos"/>
          <w:color w:val="444444"/>
          <w:sz w:val="28"/>
        </w:rPr>
        <w:tab/>
        <w:t xml:space="preserve">Инспекция гостехнадзора осуществляет региональный государственный надзор  за соблюдением юридическими лицами, их руководителями и иными должностными лицами, индивидуальными предпринимателями, их уполномоченными лицами,</w:t>
      </w:r>
      <w:r>
        <w:rPr>
          <w:rFonts w:ascii="Tinos" w:hAnsi="Tinos" w:cs="Tinos" w:eastAsia="Tinos"/>
          <w:color w:val="444444"/>
          <w:sz w:val="28"/>
        </w:rPr>
        <w:t xml:space="preserve"> физическими лицами о</w:t>
      </w:r>
      <w:r>
        <w:rPr>
          <w:rFonts w:ascii="Tinos" w:hAnsi="Tinos" w:cs="Tinos" w:eastAsia="Tinos"/>
          <w:color w:val="444444"/>
          <w:sz w:val="28"/>
        </w:rPr>
        <w:t xml:space="preserve">бязательных требований, установленных федеральными законами, постановлениями Правительства Российской Федерации, техническими регламентами Евразийского экономического союза и другими нормативными правовыми актами, к техническому состоянию и экспл</w:t>
      </w:r>
      <w:r>
        <w:rPr>
          <w:rFonts w:ascii="Tinos" w:hAnsi="Tinos" w:cs="Tinos" w:eastAsia="Tinos"/>
          <w:color w:val="444444"/>
          <w:sz w:val="28"/>
        </w:rPr>
        <w:t xml:space="preserve">уатации: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самоходных машин и других видов техники;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машин и (или) оборудования, установленных на самоходные машины и прицепы к ним.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 Инспекция гостехнадзора предоставляет государственные услуги: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государственная регистрация самоходных машин и других видов техники;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государственная регистрация аттракционов;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проведение технических осмотров самоходных машин и других видов техники;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прием экзаменов на право управления самоходными машинами и выдача удостоверений тракториста-машиниста (тракториста);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color w:val="444444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обследование образовательных учреждений на соответствие требованиям оборудования и оснащенности образовательного процесса и выдача соответствующих свидетельств, обязательных для последующего рассмотрения вопроса соответствующими органами об аккредитации </w:t>
      </w:r>
      <w:r>
        <w:rPr>
          <w:rFonts w:ascii="Tinos" w:hAnsi="Tinos" w:cs="Tinos" w:eastAsia="Tinos"/>
          <w:color w:val="444444"/>
          <w:sz w:val="28"/>
        </w:rPr>
        <w:t xml:space="preserve">и выдаче указанным учреждениям лицензий на право подготовки трактористов и машинистов самоходных машин;</w:t>
      </w:r>
      <w:r/>
    </w:p>
    <w:p>
      <w:pPr>
        <w:ind w:left="0" w:right="0" w:firstLine="708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480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  <w:t xml:space="preserve">Должностные лица Инспекции - главные государственные инженеры-инспекторы  и их заместители уполномочены:</w:t>
      </w:r>
      <w:r>
        <w:rPr>
          <w:rFonts w:ascii="Tinos" w:hAnsi="Tinos" w:cs="Tinos" w:eastAsia="Tinos"/>
          <w:sz w:val="28"/>
        </w:rPr>
      </w:r>
    </w:p>
    <w:p>
      <w:pPr>
        <w:ind w:left="0" w:right="0" w:firstLine="0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 </w:t>
      </w:r>
      <w:r>
        <w:rPr>
          <w:rFonts w:ascii="Tinos" w:hAnsi="Tinos" w:cs="Tinos" w:eastAsia="Tinos"/>
          <w:sz w:val="28"/>
        </w:rPr>
      </w:r>
      <w:hyperlink r:id="rId9" w:tooltip="https://docs.cntd.ru/document/578151789" w:history="1">
        <w:r>
          <w:rPr>
            <w:rStyle w:val="810"/>
            <w:rFonts w:ascii="Tinos" w:hAnsi="Tinos" w:cs="Tinos" w:eastAsia="Tinos"/>
            <w:color w:val="3451A0"/>
            <w:sz w:val="28"/>
            <w:highlight w:val="none"/>
            <w:u w:val="single"/>
          </w:rPr>
          <w:t xml:space="preserve"> </w:t>
        </w:r>
      </w:hyperlink>
      <w:r>
        <w:rPr>
          <w:rFonts w:ascii="Tinos" w:hAnsi="Tinos" w:cs="Tinos" w:eastAsia="Tinos"/>
          <w:color w:val="444444"/>
          <w:sz w:val="28"/>
        </w:rPr>
        <w:t xml:space="preserve">- проводить плановые и внеплановые проверки в соответствии с законодательством Российской Федерации о проведении проверок;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ind w:left="0" w:right="0" w:firstLine="480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  <w:t xml:space="preserve">- направлять юридическим лицам, индивидуальным предпринимателям предостережения о недопустимости нарушения обязательных требований;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ind w:left="0" w:right="0" w:firstLine="480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  <w:t xml:space="preserve">- давать обязательные предписания юридическим лицам, индивидуальным предпринимателям об устранении нарушений обязательных требований;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ind w:left="0" w:right="0" w:firstLine="480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  <w:t xml:space="preserve">- составлять протоколы об административных правонарушениях, налагать в установленном порядке в пределах своей компетенции административные взыскания при осуществлении регионального государственного надзора и иных полномочий, предоставлении государственных </w:t>
      </w:r>
      <w:r>
        <w:rPr>
          <w:rFonts w:ascii="Tinos" w:hAnsi="Tinos" w:cs="Tinos" w:eastAsia="Tinos"/>
          <w:color w:val="444444"/>
          <w:sz w:val="28"/>
        </w:rPr>
        <w:t xml:space="preserve">услуг;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ind w:left="0" w:right="0" w:firstLine="480"/>
        <w:jc w:val="both"/>
        <w:spacing w:before="0" w:after="0" w:afterAutospacing="0" w:line="113" w:lineRule="atLeast"/>
        <w:rPr>
          <w:rFonts w:ascii="Tinos" w:hAnsi="Tinos" w:cs="Tinos" w:eastAsia="Tinos"/>
          <w:color w:val="444444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  <w:t xml:space="preserve">- направлять в установленном порядке подлежащие обязательному рассмотрению представления по вопросам, входящим в компетенцию органов гостехнадзора и требующим дополнительного решения органов (организаций), обладающих правом принятия таких решений;</w:t>
      </w:r>
      <w:r>
        <w:rPr>
          <w:rFonts w:ascii="Tinos" w:hAnsi="Tinos" w:cs="Tinos" w:eastAsia="Tinos"/>
          <w:sz w:val="28"/>
        </w:rPr>
      </w:r>
    </w:p>
    <w:p>
      <w:pPr>
        <w:ind w:left="0" w:right="0" w:firstLine="480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color w:val="444444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в рамках осуществления наблюдения за соблюдением обязательных требований, анализа информации о деятельности либо действиях юридического лица и индивидуального предпринимателя, запрашивать и получать в установленном порядке от таких лиц сведения о соблюде</w:t>
      </w:r>
      <w:r>
        <w:rPr>
          <w:rFonts w:ascii="Tinos" w:hAnsi="Tinos" w:cs="Tinos" w:eastAsia="Tinos"/>
          <w:color w:val="444444"/>
          <w:sz w:val="28"/>
        </w:rPr>
        <w:t xml:space="preserve">нии обязательных требований к техническому состоянию и эксплуатации самоходных машин и других видов техники, страхованию гражданской ответственности владельцев самоходных машин и других видов техники;</w:t>
      </w:r>
      <w:r>
        <w:rPr>
          <w:rFonts w:ascii="Tinos" w:hAnsi="Tinos" w:cs="Tinos" w:eastAsia="Tinos"/>
          <w:sz w:val="28"/>
        </w:rPr>
      </w:r>
    </w:p>
    <w:p>
      <w:pPr>
        <w:ind w:left="0" w:right="0" w:firstLine="708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- проводить оценку технического состояния регистрируемых самоходных машин и других видов техники, а также машин и (или) оборудования, установленных на самоходные машины и прицепы к ним, по запросам владельцев, правоохранительных и иных органов государствен</w:t>
      </w:r>
      <w:r>
        <w:rPr>
          <w:rFonts w:ascii="Tinos" w:hAnsi="Tinos" w:cs="Tinos" w:eastAsia="Tinos"/>
          <w:color w:val="444444"/>
          <w:sz w:val="28"/>
        </w:rPr>
        <w:t xml:space="preserve">ной власти.</w:t>
      </w:r>
      <w:r>
        <w:rPr>
          <w:rFonts w:ascii="Tinos" w:hAnsi="Tinos" w:cs="Tinos" w:eastAsia="Tinos"/>
          <w:sz w:val="28"/>
        </w:rPr>
      </w:r>
    </w:p>
    <w:p>
      <w:pPr>
        <w:ind w:left="0" w:right="0" w:firstLine="708"/>
        <w:jc w:val="both"/>
        <w:spacing w:before="0" w:after="0" w:afterAutospacing="0" w:line="113" w:lineRule="atLeast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color w:val="444444"/>
          <w:sz w:val="28"/>
        </w:rPr>
        <w:t xml:space="preserve"> Осуществляет иные полномочия в соответствии с действующим законодательством.</w:t>
      </w:r>
      <w:r>
        <w:rPr>
          <w:rFonts w:ascii="Tinos" w:hAnsi="Tinos" w:cs="Tinos" w:eastAsia="Tinos"/>
          <w:sz w:val="28"/>
        </w:rPr>
      </w:r>
    </w:p>
    <w:p>
      <w:pPr>
        <w:ind w:left="0" w:right="0" w:firstLine="0"/>
        <w:jc w:val="both"/>
        <w:spacing w:before="0" w:after="0" w:afterAutospacing="0" w:line="113" w:lineRule="atLeast"/>
        <w:shd w:val="clear" w:color="ffffff" w:fill="ffffff"/>
        <w:rPr>
          <w:rFonts w:ascii="Tinos" w:hAnsi="Tinos" w:cs="Tinos" w:eastAsia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afterAutospacing="0"/>
        <w:rPr>
          <w:rFonts w:ascii="Tinos" w:hAnsi="Tinos" w:cs="Tinos" w:eastAsia="Tinos"/>
          <w:b/>
          <w:sz w:val="28"/>
          <w:highlight w:val="none"/>
        </w:rPr>
      </w:pP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afterAutospacing="0"/>
        <w:rPr>
          <w:rFonts w:ascii="Tinos" w:hAnsi="Tinos" w:cs="Tinos" w:eastAsia="Tinos"/>
          <w:b/>
          <w:sz w:val="28"/>
          <w:highlight w:val="none"/>
        </w:rPr>
      </w:pPr>
      <w:r>
        <w:rPr>
          <w:rFonts w:ascii="Tinos" w:hAnsi="Tinos" w:cs="Tinos" w:eastAsia="Tinos"/>
          <w:b/>
          <w:sz w:val="28"/>
          <w:highlight w:val="none"/>
        </w:rPr>
      </w:r>
      <w:r>
        <w:rPr>
          <w:rFonts w:ascii="Tinos" w:hAnsi="Tinos" w:cs="Tinos" w:eastAsia="Tinos"/>
          <w:b/>
          <w:sz w:val="28"/>
          <w:highlight w:val="none"/>
        </w:rPr>
        <w:t xml:space="preserve">Начальник инспекции гостехнадзора </w:t>
      </w:r>
      <w:r>
        <w:rPr>
          <w:rFonts w:ascii="Tinos" w:hAnsi="Tinos" w:cs="Tinos" w:eastAsia="Tinos"/>
          <w:b/>
          <w:sz w:val="28"/>
          <w:highlight w:val="none"/>
        </w:rPr>
      </w:r>
      <w:r>
        <w:rPr>
          <w:b/>
        </w:rPr>
      </w:r>
    </w:p>
    <w:p>
      <w:pPr>
        <w:ind w:left="0" w:right="0" w:firstLine="0"/>
        <w:spacing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  <w:highlight w:val="none"/>
        </w:rPr>
        <w:t xml:space="preserve">Яковлевского района                       </w:t>
      </w:r>
      <w:r>
        <w:rPr>
          <w:rFonts w:ascii="Tinos" w:hAnsi="Tinos" w:cs="Tinos" w:eastAsia="Tinos"/>
          <w:b/>
          <w:sz w:val="28"/>
          <w:highlight w:val="none"/>
        </w:rPr>
        <w:t xml:space="preserve">                                           А.Д.Рыжков</w:t>
      </w:r>
      <w:r>
        <w:rPr>
          <w:rFonts w:ascii="Tinos" w:hAnsi="Tinos" w:cs="Tinos" w:eastAsia="Tinos"/>
          <w:b/>
          <w:sz w:val="28"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Liberation Sans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FFFFFF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FFFFFF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FFFFFF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FFFFFF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FFFFFF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FFFFFF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FFFFFF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FFFFFF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FFFFFF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49" w:hanging="360"/>
      </w:pPr>
      <w:rPr>
        <w:rFonts w:ascii="Symbol" w:hAnsi="Symbol" w:cs="Symbol" w:eastAsia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669" w:hanging="360"/>
      </w:pPr>
      <w:rPr>
        <w:rFonts w:ascii="Symbol" w:hAnsi="Symbol" w:cs="Symbol" w:eastAsia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389" w:hanging="360"/>
      </w:pPr>
      <w:rPr>
        <w:rFonts w:ascii="Symbol" w:hAnsi="Symbol" w:cs="Symbol" w:eastAsia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109" w:hanging="360"/>
      </w:pPr>
      <w:rPr>
        <w:rFonts w:ascii="Symbol" w:hAnsi="Symbol" w:cs="Symbol" w:eastAsia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829" w:hanging="360"/>
      </w:pPr>
      <w:rPr>
        <w:rFonts w:ascii="Symbol" w:hAnsi="Symbol" w:cs="Symbol" w:eastAsia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549" w:hanging="360"/>
      </w:pPr>
      <w:rPr>
        <w:rFonts w:ascii="Symbol" w:hAnsi="Symbol" w:cs="Symbol" w:eastAsia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269" w:hanging="360"/>
      </w:pPr>
      <w:rPr>
        <w:rFonts w:ascii="Symbol" w:hAnsi="Symbol" w:cs="Symbol" w:eastAsia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989" w:hanging="360"/>
      </w:pPr>
      <w:rPr>
        <w:rFonts w:ascii="Symbol" w:hAnsi="Symbol" w:cs="Symbol" w:eastAsia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709" w:hanging="360"/>
      </w:pPr>
      <w:rPr>
        <w:rFonts w:ascii="Symbol" w:hAnsi="Symbol" w:cs="Symbol" w:eastAsia="Symbol"/>
        <w:color w:val="000000"/>
        <w:sz w:val="26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49" w:hanging="360"/>
      </w:pPr>
      <w:rPr>
        <w:rFonts w:ascii="Symbol" w:hAnsi="Symbol" w:cs="Symbol" w:eastAsia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669" w:hanging="360"/>
      </w:pPr>
      <w:rPr>
        <w:rFonts w:ascii="Symbol" w:hAnsi="Symbol" w:cs="Symbol" w:eastAsia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389" w:hanging="360"/>
      </w:pPr>
      <w:rPr>
        <w:rFonts w:ascii="Symbol" w:hAnsi="Symbol" w:cs="Symbol" w:eastAsia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109" w:hanging="360"/>
      </w:pPr>
      <w:rPr>
        <w:rFonts w:ascii="Symbol" w:hAnsi="Symbol" w:cs="Symbol" w:eastAsia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829" w:hanging="360"/>
      </w:pPr>
      <w:rPr>
        <w:rFonts w:ascii="Symbol" w:hAnsi="Symbol" w:cs="Symbol" w:eastAsia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549" w:hanging="360"/>
      </w:pPr>
      <w:rPr>
        <w:rFonts w:ascii="Symbol" w:hAnsi="Symbol" w:cs="Symbol" w:eastAsia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269" w:hanging="360"/>
      </w:pPr>
      <w:rPr>
        <w:rFonts w:ascii="Symbol" w:hAnsi="Symbol" w:cs="Symbol" w:eastAsia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989" w:hanging="360"/>
      </w:pPr>
      <w:rPr>
        <w:rFonts w:ascii="Symbol" w:hAnsi="Symbol" w:cs="Symbol" w:eastAsia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709" w:hanging="360"/>
      </w:pPr>
      <w:rPr>
        <w:rFonts w:ascii="Symbol" w:hAnsi="Symbol" w:cs="Symbol" w:eastAsia="Symbol"/>
        <w:color w:val="000000"/>
        <w:sz w:val="26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49" w:hanging="360"/>
      </w:pPr>
      <w:rPr>
        <w:rFonts w:ascii="Symbol" w:hAnsi="Symbol" w:cs="Symbol" w:eastAsia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669" w:hanging="360"/>
      </w:pPr>
      <w:rPr>
        <w:rFonts w:ascii="Symbol" w:hAnsi="Symbol" w:cs="Symbol" w:eastAsia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389" w:hanging="360"/>
      </w:pPr>
      <w:rPr>
        <w:rFonts w:ascii="Symbol" w:hAnsi="Symbol" w:cs="Symbol" w:eastAsia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109" w:hanging="360"/>
      </w:pPr>
      <w:rPr>
        <w:rFonts w:ascii="Symbol" w:hAnsi="Symbol" w:cs="Symbol" w:eastAsia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829" w:hanging="360"/>
      </w:pPr>
      <w:rPr>
        <w:rFonts w:ascii="Symbol" w:hAnsi="Symbol" w:cs="Symbol" w:eastAsia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549" w:hanging="360"/>
      </w:pPr>
      <w:rPr>
        <w:rFonts w:ascii="Symbol" w:hAnsi="Symbol" w:cs="Symbol" w:eastAsia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269" w:hanging="360"/>
      </w:pPr>
      <w:rPr>
        <w:rFonts w:ascii="Symbol" w:hAnsi="Symbol" w:cs="Symbol" w:eastAsia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989" w:hanging="360"/>
      </w:pPr>
      <w:rPr>
        <w:rFonts w:ascii="Symbol" w:hAnsi="Symbol" w:cs="Symbol" w:eastAsia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709" w:hanging="360"/>
      </w:pPr>
      <w:rPr>
        <w:rFonts w:ascii="Symbol" w:hAnsi="Symbol" w:cs="Symbol" w:eastAsia="Symbol"/>
        <w:color w:val="000000"/>
        <w:sz w:val="26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49" w:hanging="360"/>
      </w:pPr>
      <w:rPr>
        <w:rFonts w:ascii="Liberation Sans" w:hAnsi="Liberation Sans" w:cs="Liberation Sans" w:eastAsia="Liberation Sans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66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38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10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82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54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26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98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70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endnote text"/>
    <w:basedOn w:val="812"/>
    <w:link w:val="681"/>
    <w:uiPriority w:val="99"/>
    <w:semiHidden/>
    <w:unhideWhenUsed/>
    <w:pPr>
      <w:spacing w:after="0" w:line="240" w:lineRule="auto"/>
    </w:pPr>
    <w:rPr>
      <w:sz w:val="20"/>
    </w:rPr>
  </w:style>
  <w:style w:type="character" w:styleId="681">
    <w:name w:val="Endnote Text Char"/>
    <w:link w:val="680"/>
    <w:uiPriority w:val="99"/>
    <w:rPr>
      <w:sz w:val="20"/>
    </w:rPr>
  </w:style>
  <w:style w:type="character" w:styleId="682">
    <w:name w:val="endnote reference"/>
    <w:basedOn w:val="842"/>
    <w:uiPriority w:val="99"/>
    <w:semiHidden/>
    <w:unhideWhenUsed/>
    <w:rPr>
      <w:vertAlign w:val="superscript"/>
    </w:rPr>
  </w:style>
  <w:style w:type="paragraph" w:styleId="683">
    <w:name w:val="table of figures"/>
    <w:basedOn w:val="812"/>
    <w:next w:val="812"/>
    <w:uiPriority w:val="99"/>
    <w:unhideWhenUsed/>
    <w:pPr>
      <w:spacing w:after="0" w:afterAutospacing="0"/>
    </w:pPr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character" w:styleId="811">
    <w:name w:val="footnote reference"/>
    <w:basedOn w:val="842"/>
    <w:uiPriority w:val="99"/>
    <w:unhideWhenUsed/>
    <w:rPr>
      <w:vertAlign w:val="superscript"/>
    </w:rPr>
  </w:style>
  <w:style w:type="paragraph" w:styleId="812" w:default="1">
    <w:name w:val="Normal"/>
    <w:qFormat/>
    <w:pPr>
      <w:ind w:left="0" w:right="0" w:firstLine="0"/>
      <w:jc w:val="left"/>
      <w:spacing w:before="0" w:beforeAutospacing="0" w:after="200" w:afterAutospacing="0" w:line="276" w:lineRule="auto"/>
      <w:shd w:val="nil" w:color="auto" w:fill="ffffff"/>
      <w:widowControl/>
    </w:pPr>
    <w:rPr>
      <w:rFonts w:ascii="PT Sans" w:hAnsi="PT Sans" w:cs="PT Sans" w:eastAsia="PT Sans"/>
      <w:color w:val="auto"/>
      <w:spacing w:val="0"/>
      <w:sz w:val="22"/>
      <w:szCs w:val="22"/>
      <w:highlight w:val="white"/>
      <w:lang w:val="ru-RU" w:bidi="ar-SA" w:eastAsia="en-US"/>
    </w:rPr>
  </w:style>
  <w:style w:type="paragraph" w:styleId="813">
    <w:name w:val="Heading 1"/>
    <w:basedOn w:val="8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814">
    <w:name w:val="Heading 2"/>
    <w:basedOn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815">
    <w:name w:val="Heading 3"/>
    <w:basedOn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16">
    <w:name w:val="Heading 4"/>
    <w:basedOn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17">
    <w:name w:val="Heading 5"/>
    <w:basedOn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18">
    <w:name w:val="Heading 6"/>
    <w:basedOn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19">
    <w:name w:val="Heading 7"/>
    <w:basedOn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20">
    <w:name w:val="Heading 8"/>
    <w:basedOn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21">
    <w:name w:val="Heading 9"/>
    <w:basedOn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22">
    <w:name w:val="Heading 1 Char"/>
    <w:link w:val="856"/>
    <w:uiPriority w:val="9"/>
    <w:qFormat/>
    <w:rPr>
      <w:rFonts w:ascii="Arial" w:hAnsi="Arial" w:cs="Arial" w:eastAsia="Arial"/>
      <w:sz w:val="40"/>
      <w:szCs w:val="40"/>
    </w:rPr>
  </w:style>
  <w:style w:type="character" w:styleId="823">
    <w:name w:val="Heading 2 Char"/>
    <w:uiPriority w:val="9"/>
    <w:qFormat/>
    <w:rPr>
      <w:rFonts w:ascii="Arial" w:hAnsi="Arial" w:cs="Arial" w:eastAsia="Arial"/>
      <w:sz w:val="34"/>
    </w:rPr>
  </w:style>
  <w:style w:type="character" w:styleId="824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825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826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27">
    <w:name w:val="Heading 6 Char"/>
    <w:link w:val="857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828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29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30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831">
    <w:name w:val="Title Char"/>
    <w:uiPriority w:val="10"/>
    <w:qFormat/>
    <w:rPr>
      <w:sz w:val="48"/>
      <w:szCs w:val="48"/>
    </w:rPr>
  </w:style>
  <w:style w:type="character" w:styleId="832">
    <w:name w:val="Subtitle Char"/>
    <w:uiPriority w:val="11"/>
    <w:qFormat/>
    <w:rPr>
      <w:sz w:val="24"/>
      <w:szCs w:val="24"/>
    </w:rPr>
  </w:style>
  <w:style w:type="character" w:styleId="833">
    <w:name w:val="Quote Char"/>
    <w:uiPriority w:val="29"/>
    <w:qFormat/>
    <w:rPr>
      <w:i/>
    </w:rPr>
  </w:style>
  <w:style w:type="character" w:styleId="834">
    <w:name w:val="Intense Quote Char"/>
    <w:uiPriority w:val="30"/>
    <w:qFormat/>
    <w:rPr>
      <w:i/>
    </w:rPr>
  </w:style>
  <w:style w:type="character" w:styleId="835">
    <w:name w:val="Header Char"/>
    <w:uiPriority w:val="99"/>
    <w:qFormat/>
  </w:style>
  <w:style w:type="character" w:styleId="836">
    <w:name w:val="Footer Char"/>
    <w:uiPriority w:val="99"/>
    <w:qFormat/>
  </w:style>
  <w:style w:type="character" w:styleId="837">
    <w:name w:val="Caption Char"/>
    <w:uiPriority w:val="99"/>
    <w:qFormat/>
  </w:style>
  <w:style w:type="character" w:styleId="838">
    <w:name w:val="Интернет-ссылка"/>
    <w:uiPriority w:val="99"/>
    <w:unhideWhenUsed/>
    <w:rPr>
      <w:color w:val="0000FF" w:themeColor="hyperlink"/>
      <w:u w:val="single"/>
    </w:rPr>
  </w:style>
  <w:style w:type="character" w:styleId="839">
    <w:name w:val="Footnote Text Char"/>
    <w:uiPriority w:val="99"/>
    <w:qFormat/>
    <w:rPr>
      <w:sz w:val="18"/>
    </w:rPr>
  </w:style>
  <w:style w:type="character" w:styleId="840">
    <w:name w:val="Привязка сноски"/>
    <w:rPr>
      <w:vertAlign w:val="superscript"/>
    </w:rPr>
  </w:style>
  <w:style w:type="character" w:styleId="841">
    <w:name w:val="Footnote Characters"/>
    <w:uiPriority w:val="99"/>
    <w:unhideWhenUsed/>
    <w:qFormat/>
    <w:rPr>
      <w:vertAlign w:val="superscript"/>
    </w:rPr>
  </w:style>
  <w:style w:type="character" w:styleId="842" w:default="1">
    <w:name w:val="Default Paragraph Font"/>
    <w:uiPriority w:val="1"/>
    <w:semiHidden/>
    <w:unhideWhenUsed/>
    <w:qFormat/>
  </w:style>
  <w:style w:type="paragraph" w:styleId="843">
    <w:name w:val="Заголовок"/>
    <w:basedOn w:val="812"/>
    <w:next w:val="844"/>
    <w:qFormat/>
    <w:pPr>
      <w:keepNext/>
      <w:spacing w:before="240" w:after="120"/>
    </w:pPr>
    <w:rPr>
      <w:rFonts w:ascii="PT Astra Serif" w:hAnsi="PT Astra Serif" w:cs="Noto Sans Devanagari" w:eastAsia="Tahoma"/>
      <w:sz w:val="28"/>
      <w:szCs w:val="28"/>
    </w:rPr>
  </w:style>
  <w:style w:type="paragraph" w:styleId="844">
    <w:name w:val="Body Text"/>
    <w:basedOn w:val="812"/>
    <w:pPr>
      <w:spacing w:before="0" w:after="140" w:line="276" w:lineRule="auto"/>
    </w:pPr>
  </w:style>
  <w:style w:type="paragraph" w:styleId="845">
    <w:name w:val="List"/>
    <w:basedOn w:val="844"/>
    <w:rPr>
      <w:rFonts w:ascii="PT Astra Serif" w:hAnsi="PT Astra Serif" w:cs="Noto Sans Devanagari"/>
    </w:rPr>
  </w:style>
  <w:style w:type="paragraph" w:styleId="846">
    <w:name w:val="Caption"/>
    <w:basedOn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7">
    <w:name w:val="Указатель"/>
    <w:basedOn w:val="812"/>
    <w:qFormat/>
    <w:rPr>
      <w:rFonts w:ascii="PT Astra Serif" w:hAnsi="PT Astra Serif" w:cs="Noto Sans Devanagari"/>
    </w:rPr>
  </w:style>
  <w:style w:type="paragraph" w:styleId="848">
    <w:name w:val="Title"/>
    <w:basedOn w:val="81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9">
    <w:name w:val="Subtitle"/>
    <w:basedOn w:val="812"/>
    <w:uiPriority w:val="11"/>
    <w:qFormat/>
    <w:pPr>
      <w:spacing w:before="200" w:after="200"/>
    </w:pPr>
    <w:rPr>
      <w:sz w:val="24"/>
      <w:szCs w:val="24"/>
    </w:rPr>
  </w:style>
  <w:style w:type="paragraph" w:styleId="850">
    <w:name w:val="Quote"/>
    <w:basedOn w:val="812"/>
    <w:uiPriority w:val="29"/>
    <w:qFormat/>
    <w:pPr>
      <w:ind w:left="720" w:right="720" w:firstLine="0"/>
    </w:pPr>
    <w:rPr>
      <w:i/>
    </w:rPr>
  </w:style>
  <w:style w:type="paragraph" w:styleId="851">
    <w:name w:val="Intense Quote"/>
    <w:basedOn w:val="812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2">
    <w:name w:val="Верхний и нижний колонтитулы"/>
    <w:basedOn w:val="812"/>
    <w:qFormat/>
  </w:style>
  <w:style w:type="paragraph" w:styleId="853">
    <w:name w:val="Header"/>
    <w:basedOn w:val="812"/>
    <w:link w:val="85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er"/>
    <w:basedOn w:val="81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5">
    <w:name w:val="footnote text"/>
    <w:basedOn w:val="81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6">
    <w:name w:val="toc 1"/>
    <w:basedOn w:val="812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12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12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12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12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12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12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12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12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ind w:left="0" w:right="0" w:firstLine="0"/>
      <w:jc w:val="left"/>
      <w:spacing w:before="0" w:beforeAutospacing="0" w:after="200" w:afterAutospacing="0" w:line="276" w:lineRule="auto"/>
      <w:shd w:val="nil" w:color="auto" w:fill="ffffff"/>
      <w:widowControl/>
    </w:pPr>
    <w:rPr>
      <w:rFonts w:ascii="PT Sans" w:hAnsi="PT Sans" w:cs="PT Sans" w:eastAsia="PT Sans"/>
      <w:color w:val="auto"/>
      <w:spacing w:val="0"/>
      <w:sz w:val="22"/>
      <w:szCs w:val="22"/>
      <w:highlight w:val="white"/>
      <w:lang w:val="ru-RU" w:bidi="ar-SA" w:eastAsia="en-US"/>
    </w:rPr>
  </w:style>
  <w:style w:type="paragraph" w:styleId="866">
    <w:name w:val="No Spacing"/>
    <w:basedOn w:val="812"/>
    <w:uiPriority w:val="1"/>
    <w:qFormat/>
    <w:pPr>
      <w:spacing w:before="0" w:after="0" w:line="240" w:lineRule="auto"/>
    </w:pPr>
  </w:style>
  <w:style w:type="paragraph" w:styleId="867">
    <w:name w:val="List Paragraph"/>
    <w:basedOn w:val="812"/>
    <w:uiPriority w:val="34"/>
    <w:qFormat/>
    <w:pPr>
      <w:contextualSpacing/>
      <w:ind w:left="720" w:right="0" w:firstLine="0"/>
      <w:spacing w:before="0" w:after="200"/>
    </w:pPr>
  </w:style>
  <w:style w:type="numbering" w:styleId="868" w:default="1">
    <w:name w:val="No List"/>
    <w:uiPriority w:val="99"/>
    <w:semiHidden/>
    <w:unhideWhenUsed/>
    <w:qFormat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cs.cntd.ru/document/57815178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</cp:revision>
  <dcterms:modified xsi:type="dcterms:W3CDTF">2024-07-30T11:30:41Z</dcterms:modified>
</cp:coreProperties>
</file>